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C9" w:rsidRDefault="000F2EC9" w:rsidP="000F2EC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МАРКИРОВКА ТАБАЧНОЙ ПРОДУКЦИИ.</w:t>
      </w:r>
    </w:p>
    <w:p w:rsidR="000F2EC9" w:rsidRDefault="000F2EC9" w:rsidP="000F2E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EC9" w:rsidRDefault="000F2EC9" w:rsidP="000F2E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Минпромторгом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совместно с оператором государственной информационной систем мониторинга за оборотом товаров, подлежащих обязательной маркировке, проведен анализ сведений, содержащихся в информационной системе маркировки и ЕГАИС, об участниках оборота табачной продукции и хозяйствующих субъектах, имеющих лицензии на розничную продажу алкогольной продукции.</w:t>
      </w:r>
    </w:p>
    <w:p w:rsidR="000F2EC9" w:rsidRDefault="000F2EC9" w:rsidP="000F2E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вышеуказанного анализа выявлено, что не все организации, имеющие лицензию на розничную продажу алкогольной продукции, зарегистрированы в информационной системе маркировки в качестве участников оборота табачной продукции.</w:t>
      </w:r>
    </w:p>
    <w:p w:rsidR="000F2EC9" w:rsidRDefault="000F2EC9" w:rsidP="000F2E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1 июля 2020 года в</w:t>
      </w:r>
      <w:r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РФ от 28 февраля 2019 г. № 224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прекращается оборот немаркированной продукции. Поставки маркированных сигарет в розничную торговлю и оптовым операторам сопровождаются универсальными передаточными документами (УПД) с указанием кодов продукции при помощи систем электронного документооборота.  </w:t>
      </w:r>
    </w:p>
    <w:p w:rsidR="000F2EC9" w:rsidRDefault="000F2EC9" w:rsidP="000F2E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торговли подакцизными товарами необходимо использовать </w:t>
      </w:r>
      <w:proofErr w:type="spellStart"/>
      <w:r>
        <w:rPr>
          <w:rFonts w:ascii="Times New Roman" w:hAnsi="Times New Roman"/>
          <w:sz w:val="28"/>
          <w:szCs w:val="28"/>
        </w:rPr>
        <w:t>онлайн-кассу</w:t>
      </w:r>
      <w:proofErr w:type="spellEnd"/>
      <w:r>
        <w:rPr>
          <w:rFonts w:ascii="Times New Roman" w:hAnsi="Times New Roman"/>
          <w:sz w:val="28"/>
          <w:szCs w:val="28"/>
        </w:rPr>
        <w:t xml:space="preserve"> с возможностью расшифровки номенклатуры, при этом программное обеспечение кассовой техники должно формировать и отправлять ОФД электронный кассовый чек с указанием кода маркировки товара.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организация подключена к ЕГАИС, то при продаже табачных изделий можно использовать сканер считывания информации со штрих-кода федеральной специальной марки и акцизной марки.</w:t>
      </w:r>
    </w:p>
    <w:p w:rsidR="000F2EC9" w:rsidRDefault="000F2EC9" w:rsidP="000F2E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нарушение установленных требований статьей 15.12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предусмотрена ответственность с наложением административного штрафа, в том числе на юридических лиц в размере от 50 тыс. до 300 тыс. рублей с конфискацией предметов административного правонарушения.</w:t>
      </w:r>
    </w:p>
    <w:p w:rsidR="0038053D" w:rsidRDefault="0038053D"/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2EC9"/>
    <w:rsid w:val="000F2EC9"/>
    <w:rsid w:val="0038053D"/>
    <w:rsid w:val="00E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</dc:creator>
  <cp:lastModifiedBy>432</cp:lastModifiedBy>
  <cp:revision>1</cp:revision>
  <dcterms:created xsi:type="dcterms:W3CDTF">2020-09-28T03:57:00Z</dcterms:created>
  <dcterms:modified xsi:type="dcterms:W3CDTF">2020-09-28T03:58:00Z</dcterms:modified>
</cp:coreProperties>
</file>